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PROGRAM “LEGAL ACCESS” / ПРОГРАМА «ДОСТУП ДО ПРАВА “СВІТЛО СЕРЦЯ”»</w:t>
      </w:r>
    </w:p>
    <w:p>
      <w:r>
        <w:t>(Правова допомога, захист і представництво людей з інвалідністю та порушеннями зору)</w:t>
      </w:r>
    </w:p>
    <w:p>
      <w:pPr>
        <w:pStyle w:val="Heading2"/>
      </w:pPr>
      <w:r>
        <w:t>1. Основна ідея</w:t>
      </w:r>
    </w:p>
    <w:p>
      <w:r>
        <w:t>Програма «Legal Access» створена Благодійним фондом «Світло Серця Тячів» для забезпечення реального доступу до правосуддя і правового захисту людей з інвалідністю та порушеннями зору. Її мета — щоб жодна людина не залишалась без голосу у судах, державних установах чи життєвих рішеннях.</w:t>
      </w:r>
    </w:p>
    <w:p>
      <w:pPr>
        <w:pStyle w:val="Heading2"/>
      </w:pPr>
      <w:r>
        <w:t>2. Цілі програми</w:t>
      </w:r>
    </w:p>
    <w:p>
      <w:r>
        <w:t>• надати безкоштовні правові консультації та супровід;</w:t>
        <w:br/>
        <w:t>• допомагати у питаннях спадщини, заповіту, нерухомості, соціальних виплат;</w:t>
        <w:br/>
        <w:t>• супроводжувати осіб з інвалідністю у судових процесах, нотаріальних діях, медичних комісіях;</w:t>
        <w:br/>
        <w:t>• запобігати зловживанням, шахрайству та порушенню майнових прав;</w:t>
        <w:br/>
        <w:t>• формувати культуру правової обізнаності серед бенефіціарів та їхніх родин.</w:t>
      </w:r>
    </w:p>
    <w:p>
      <w:pPr>
        <w:pStyle w:val="Heading2"/>
      </w:pPr>
      <w:r>
        <w:t>3. Ключові напрями</w:t>
      </w:r>
    </w:p>
    <w:p>
      <w:r>
        <w:t>1. Правовий супровід:</w:t>
        <w:br/>
        <w:t xml:space="preserve">   – юридичні консультації та роз’яснення прав;</w:t>
        <w:br/>
        <w:t xml:space="preserve">   – допомога в оформленні документів (заяви, скарги, заповіти, спадщина, майнові права);</w:t>
        <w:br/>
        <w:t xml:space="preserve">   – супровід у судах і державних установах;</w:t>
        <w:br/>
        <w:t xml:space="preserve">   – співпраця з безоплатною правовою допомогою.</w:t>
        <w:br/>
        <w:br/>
        <w:t>2. Заповіт і спадщина:</w:t>
        <w:br/>
        <w:t xml:space="preserve">   – консультації щодо складання заповіту;</w:t>
        <w:br/>
        <w:t xml:space="preserve">   – захист прав спадкоємців із інвалідністю;</w:t>
        <w:br/>
        <w:t xml:space="preserve">   – контроль за дотриманням волі особи у випадку втрати дієздатності;</w:t>
        <w:br/>
        <w:t xml:space="preserve">   – збереження майна та документів у партнерських нотаріальних архівах.</w:t>
        <w:br/>
        <w:br/>
        <w:t>3. Захист від зловживань:</w:t>
        <w:br/>
        <w:t xml:space="preserve">   – реагування на випадки тиску, шахрайства, вилучення майна чи соціальних виплат;</w:t>
        <w:br/>
        <w:t xml:space="preserve">   – створення гарячої правової лінії через Call-Hub;</w:t>
        <w:br/>
        <w:t xml:space="preserve">   – юридичне представництво у справах про опікунство, спадщину, нерухомість.</w:t>
        <w:br/>
        <w:br/>
        <w:t>4. Освітній блок “Know Your Rights”:</w:t>
        <w:br/>
        <w:t xml:space="preserve">   – тренінги з правової грамотності для людей з інвалідністю та їхніх родичів;</w:t>
        <w:br/>
        <w:t xml:space="preserve">   – інформаційні брошури у форматах доступних для людей з порушенням зору;</w:t>
        <w:br/>
        <w:t xml:space="preserve">   – онлайн-зустрічі з юристами, нотаріусами, адвокатами.</w:t>
      </w:r>
    </w:p>
    <w:p>
      <w:pPr>
        <w:pStyle w:val="Heading2"/>
      </w:pPr>
      <w:r>
        <w:t>4. Організація впровадження</w:t>
      </w:r>
    </w:p>
    <w:p>
      <w:r>
        <w:t>• Програма реалізується юридичним координатором Фонду спільно з партнерськими юристами та правозахисними організаціями.</w:t>
        <w:br/>
        <w:t>• Для складних випадків створюється “Case Team” — група адвокатів, психологів і представників Фонду.</w:t>
        <w:br/>
        <w:t>• Усі дані клієнтів є конфіденційними, зберігаються згідно із законодавством про захист персональних даних.</w:t>
      </w:r>
    </w:p>
    <w:p>
      <w:pPr>
        <w:pStyle w:val="Heading2"/>
      </w:pPr>
      <w:r>
        <w:t>5. Партнери</w:t>
      </w:r>
    </w:p>
    <w:p>
      <w:r>
        <w:t>• центри Безоплатної правової допомоги (БПД);</w:t>
        <w:br/>
        <w:t>• адвокатські об’єднання та правозахисні організації;</w:t>
        <w:br/>
        <w:t>• нотаріуси та соціальні служби;</w:t>
        <w:br/>
        <w:t>• міжнародні фонди, що підтримують права осіб з інвалідністю.</w:t>
      </w:r>
    </w:p>
    <w:p>
      <w:pPr>
        <w:pStyle w:val="Heading2"/>
      </w:pPr>
      <w:r>
        <w:t>6. Очікувані результати</w:t>
      </w:r>
    </w:p>
    <w:p>
      <w:r>
        <w:t>• зростання рівня правової грамотності серед учасників;</w:t>
        <w:br/>
        <w:t>• зменшення випадків шахрайства та втрати майна;</w:t>
        <w:br/>
        <w:t>• створення мережі правового захисту людей з інвалідністю;</w:t>
        <w:br/>
        <w:t>• підвищення довіри до правосуддя й державних інституцій.</w:t>
      </w:r>
    </w:p>
    <w:p>
      <w:pPr>
        <w:pStyle w:val="Heading2"/>
      </w:pPr>
      <w:r>
        <w:t>7. Заключні положення</w:t>
      </w:r>
    </w:p>
    <w:p>
      <w:r>
        <w:t>Програма «Legal Access» — це четвертий стратегічний напрям у Моделі «Світло Серця», який утверджує принцип: «Гідність людини — непорушна, навіть коли її не бачать».</w:t>
      </w:r>
    </w:p>
    <w:p>
      <w:pPr>
        <w:pStyle w:val="Heading2"/>
      </w:pPr>
      <w:r>
        <w:t>8. Розумне пристосування у закладах</w:t>
      </w:r>
    </w:p>
    <w:p>
      <w:r>
        <w:t>• Програма «Legal Access» просуває впровадження принципів розумного пристосування в усіх державних і комунальних закладах, де люди з інвалідністю отримують послуги.</w:t>
        <w:br/>
        <w:t>• Це включає:</w:t>
        <w:br/>
        <w:t xml:space="preserve">  – забезпечення доступу до інформації у зручних форматах (аудіо, шрифт Брайля, великі шрифти);</w:t>
        <w:br/>
        <w:t xml:space="preserve">  – письмове дублювання або усне роз’яснення документів під час судових чи нотаріальних процедур;</w:t>
        <w:br/>
        <w:t xml:space="preserve">  – право людини з інвалідністю бути почутою особисто або через асистента;</w:t>
        <w:br/>
        <w:t xml:space="preserve">  – створення в установах умов для спокійного, безпечного спілкування з урахуванням особливостей зору чи слуху;</w:t>
        <w:br/>
        <w:t xml:space="preserve">  – навчання персоналу основам етичної комунікації з людьми з порушеннями зору;</w:t>
        <w:br/>
        <w:t xml:space="preserve">  – включення розділу про “reasonable accommodation” у внутрішні стандарти установ.</w:t>
        <w:br/>
        <w:t>• Фонд «Світло Серця Тячів» розробляє рекомендації та проводить навчання службовців органів влади, судів, лікарень і соціальних служб щодо цих вимог.</w:t>
      </w:r>
    </w:p>
    <w:p>
      <w:r>
        <w:br/>
        <w:t>Благодійний фонд «Світло Серця Тячів»</w:t>
      </w:r>
    </w:p>
    <w:p>
      <w:r>
        <w:t>м. Тячів, Україна — 2025 рік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